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ABE" w:rsidRDefault="00E7479F" w:rsidP="00E7479F">
      <w:pPr>
        <w:spacing w:after="0"/>
        <w:jc w:val="right"/>
        <w:rPr>
          <w:rFonts w:ascii="Times New Roman" w:hAnsi="Times New Roman" w:cs="Times New Roman"/>
        </w:rPr>
      </w:pPr>
      <w:r w:rsidRPr="00E7479F">
        <w:rPr>
          <w:rFonts w:ascii="Times New Roman" w:hAnsi="Times New Roman" w:cs="Times New Roman"/>
        </w:rPr>
        <w:t>Приложение 1</w:t>
      </w:r>
    </w:p>
    <w:p w:rsidR="00E7479F" w:rsidRDefault="00E7479F" w:rsidP="00E7479F">
      <w:pPr>
        <w:spacing w:after="0"/>
        <w:jc w:val="right"/>
        <w:rPr>
          <w:rFonts w:ascii="Times New Roman" w:hAnsi="Times New Roman" w:cs="Times New Roman"/>
        </w:rPr>
      </w:pPr>
    </w:p>
    <w:tbl>
      <w:tblPr>
        <w:tblStyle w:val="a3"/>
        <w:tblW w:w="13178" w:type="dxa"/>
        <w:tblLook w:val="04A0" w:firstRow="1" w:lastRow="0" w:firstColumn="1" w:lastColumn="0" w:noHBand="0" w:noVBand="1"/>
      </w:tblPr>
      <w:tblGrid>
        <w:gridCol w:w="559"/>
        <w:gridCol w:w="8934"/>
        <w:gridCol w:w="3685"/>
      </w:tblGrid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подготовку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Порядок проведения экспертизы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договоров на проведение государственной экспертизы проектной документации и результатов инженерных изысканий и проведения проверки достоверности определения сметной стоимости объекта капитального строительства (с учетом требований бюджетного законодательства), оплата работ по договорам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Необходимость проведения публичного технологического и ценового аудита инвестиционных проектов. Необходимость предоставления заключения технологического и ценового аудита обоснования инвестиций при сдаче проектной документации на государственную экспертизу, в том числе повторную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аппарат 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ФАУ «Главгосэкспертиза России»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повторной государственной экспертизы в случае необходимости внесения изменений в проектную документацию, имеющую положительные заключения государственной экспертизы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признания проектной документации, модифицированной и представления ее на государственную экспертизу 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Требования по составу разделов проектной документации, представляемых для проведения проверки сметной стоимости капитального ремонта объектов. Необходимость выполнения результатов инженерных изысканий при подготовке проектной документации на капитальный ремонт объектов капитального строительства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проведения экспертизы проектной документации в электронном виде. Требования к материалам и основные ошибки при представлении на экспертизу проектной документации и внесении в нее изменений в электронном виде 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Требования безопасности 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Применение положений Федерального закона от 22 июля 2008 года №123-ФЗ «Технический регламент о требованиях пожарной безопасности» при экспертизе проектной документации и проблемные вопросы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Определение критериев отнесения изменений технических решений в проектной документации к решениям, затрагивающим конструктивные и другие характеристики безопасности объекта капитального строительства.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экспертизы особо опасных и технически сложных объектов. Случаи, при которых необходимо предоставление специальных технических условий и примеры применения положений специальных ТУ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экспертизы объектов транспортного комплекса. Представление на экспертизу проектной документации с разделением на этапы.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филиал 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проведения экспертизы проектной документации опасных объектов, связанных с воздействием на окружающую среду, в том числе в зонах с особыми условиями использования 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представления материалов и проведения экспертизы результатов инженерных изысканий 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технических решений, принятых в проектной и рабочей документации, в соответствии с ТРБЗС №384-ФЗ.  Роль и статус положительного заключения государственной экспертизы в процедуре оценки соответствия.</w:t>
            </w:r>
          </w:p>
        </w:tc>
        <w:tc>
          <w:tcPr>
            <w:tcW w:w="3685" w:type="dxa"/>
          </w:tcPr>
          <w:p w:rsid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proofErr w:type="spellStart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Стройнадзора</w:t>
            </w:r>
            <w:proofErr w:type="spellEnd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и экспертизы Хабаровского края</w:t>
            </w: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Вопросы определения сметной стоимости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Разъяснения спорных вопросов определения сметной стоимости, в том числе: 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</w:tr>
      <w:tr w:rsidR="00E7479F" w:rsidRPr="00E7479F" w:rsidTr="00B13788">
        <w:trPr>
          <w:trHeight w:val="2518"/>
        </w:trPr>
        <w:tc>
          <w:tcPr>
            <w:tcW w:w="559" w:type="dxa"/>
          </w:tcPr>
          <w:p w:rsidR="00E7479F" w:rsidRPr="00E7479F" w:rsidRDefault="00E7479F" w:rsidP="00E7479F">
            <w:pPr>
              <w:ind w:firstLine="5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4" w:type="dxa"/>
          </w:tcPr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порядок учета в сводном сметном расчете затрат на строительный контроль и на содержание службы заказчика;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порядок учета затрат, необходимых для получения разрешения на ввод объекта в эксплуатацию;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порядок учета затрат на возмещение вреда, причиняемого автомобильным дорогам общего пользования федерального значения тяжеловесными транспортными средствами общей массой более 12 т;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порядок учета затрат на технологическое присоединение </w:t>
            </w:r>
            <w:proofErr w:type="spellStart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объекта к сетям электроснабжения.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Обоснованность требований экспертизы при проверке сметной стоимости в целях ее снижения: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 - из закрытой расценки исключить материальные ресурсы с заменой на более дешевые по стоимости;</w:t>
            </w:r>
          </w:p>
          <w:p w:rsidR="00E7479F" w:rsidRPr="00E7479F" w:rsidRDefault="00E7479F" w:rsidP="00E7479F">
            <w:pPr>
              <w:spacing w:beforeAutospacing="0" w:afterAutospacing="0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заменить стоимость материальных ресурсов и оборудования, принятых по сборникам «Отраслевые сметные цены на материалы, изделия и конструкции, применяемые в строительстве» и ОСОЦЖо-200 \ на более низкую стоимость по прайс- листам, не утвержденным Заказчиком при заходе на ГГЭ;</w:t>
            </w:r>
          </w:p>
          <w:p w:rsidR="00E7479F" w:rsidRPr="00E7479F" w:rsidRDefault="00E7479F" w:rsidP="00E7479F">
            <w:pPr>
              <w:spacing w:beforeAutospacing="0" w:afterAutospacing="0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провести трудоемкий сравнительный анализ определения стоимости всей номенклатуры оборудования, предусмотренного проектом, по прайс-листам (методом «обратного счета»);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 - при определении стоимости земляных работ заменить расценку ручной разработки на механизированную даже в труднодоступных местах, или ручную принимать не на весь объем;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- в локальных сметных расчетах исключить затраты на доставку материалов на основании ПОС и сборника на автомобильные и ж/д перевозки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  <w:p w:rsidR="00E7479F" w:rsidRPr="00E7479F" w:rsidRDefault="00E7479F" w:rsidP="00E7479F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проверки сметной стоимости объектов </w:t>
            </w:r>
            <w:proofErr w:type="spellStart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. транспорта, в том числе: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применение индексов изменения сметной стоимости строительно-монтажных работ с учетом письма Министерства строительства и ЖКХ РФ за №13323-АТ/09 от 04.05.2016 г. и таблицы «Индексы изменения сметной стоимости строительно- монтажных работ, определяемых с применением сметно-нормативной базы ОСНБЖ-2001»; 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- основания для применения индексов по приложению 2 (индексы к ОСНБЖ-2001) письма Минстроя РФ в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зависимости от вида выполняемых работ: железные дороги, мосты, СЦБ и связь, а не от наименования титула объекта капитального строительства, указанного в проектной документации (примеры);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- основания для исключения использования сборника на устройство контактной сети С) ЕРЖм20, демонтаж и монтаж волоконно-оптического кабеля и применения расценок таблицы ОЕРЖ34-02-042 (Подвеска проводов на крюках» (сборник ОЕРЖ № 34 «Сооружения связи, радиовещания и телевидения»);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- основания для исключения стоимости свай винтовых СВМ-325-4,5 принятых в сметной документации со штуки по расценке ОССЦж208-0080-051* и применения расценки как трубы металлические в зависимости от диаметра и длины сваи (при установке свай в вечномерзлых грунтах для опор ВЛ ПЭ-35кВ и АБ-10кВ);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Хабаровский филиал</w:t>
            </w:r>
          </w:p>
          <w:p w:rsidR="00E7479F" w:rsidRPr="00E7479F" w:rsidRDefault="00E7479F" w:rsidP="00E7479F">
            <w:pPr>
              <w:spacing w:before="100" w:after="1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79F" w:rsidRPr="00E7479F" w:rsidTr="00B13788">
        <w:tc>
          <w:tcPr>
            <w:tcW w:w="559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934" w:type="dxa"/>
          </w:tcPr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Определение возможности включения в федеральный реестр сметных нормативов государственных элементных сметных норм на выполнение видов работ: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рыхление скальных фунтов с 5 по 10 группу мощными бульдозерами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рыхлителями 243 кВт (330 </w:t>
            </w:r>
            <w:proofErr w:type="spellStart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рыхление скальных фунтов </w:t>
            </w:r>
            <w:proofErr w:type="spellStart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гидромолотом</w:t>
            </w:r>
            <w:proofErr w:type="spellEnd"/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на базе экскаватора с 7 по 10 группу;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в нормативах ГЭСН 30-08-048-01 укрепление поверхности матрацами «Рено» с ел. изм. 10 м" не указана толщина конструкции. Предлагается разработать сметные нормы с разной толщиной конструкции (0,17 м, 0.23 м, 0,3 м);</w:t>
            </w:r>
          </w:p>
          <w:p w:rsidR="00E7479F" w:rsidRPr="00E7479F" w:rsidRDefault="00E7479F" w:rsidP="00E7479F">
            <w:pPr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 xml:space="preserve">     - установка арочных сооружений (труба, мост) из металлических гофрированных конструкций по размерам отверстий.</w:t>
            </w:r>
          </w:p>
        </w:tc>
        <w:tc>
          <w:tcPr>
            <w:tcW w:w="3685" w:type="dxa"/>
          </w:tcPr>
          <w:p w:rsidR="00E7479F" w:rsidRPr="00E7479F" w:rsidRDefault="00E7479F" w:rsidP="00E7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79F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</w:tr>
    </w:tbl>
    <w:p w:rsidR="00E7479F" w:rsidRPr="00E7479F" w:rsidRDefault="00E7479F" w:rsidP="00E7479F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E7479F" w:rsidRPr="00E7479F" w:rsidSect="00E7479F">
      <w:headerReference w:type="default" r:id="rId6"/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4B7" w:rsidRDefault="00D434B7" w:rsidP="00E7479F">
      <w:pPr>
        <w:spacing w:after="0" w:line="240" w:lineRule="auto"/>
      </w:pPr>
      <w:r>
        <w:separator/>
      </w:r>
    </w:p>
  </w:endnote>
  <w:endnote w:type="continuationSeparator" w:id="0">
    <w:p w:rsidR="00D434B7" w:rsidRDefault="00D434B7" w:rsidP="00E7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4B7" w:rsidRDefault="00D434B7" w:rsidP="00E7479F">
      <w:pPr>
        <w:spacing w:after="0" w:line="240" w:lineRule="auto"/>
      </w:pPr>
      <w:r>
        <w:separator/>
      </w:r>
    </w:p>
  </w:footnote>
  <w:footnote w:type="continuationSeparator" w:id="0">
    <w:p w:rsidR="00D434B7" w:rsidRDefault="00D434B7" w:rsidP="00E7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79F" w:rsidRDefault="00E747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9F"/>
    <w:rsid w:val="00A43ABE"/>
    <w:rsid w:val="00D434B7"/>
    <w:rsid w:val="00E7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986FBC-EF04-4E9A-AB90-DAA6165F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79F"/>
    <w:pPr>
      <w:spacing w:beforeAutospacing="1" w:after="0" w:afterAutospacing="1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4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479F"/>
  </w:style>
  <w:style w:type="paragraph" w:styleId="a6">
    <w:name w:val="footer"/>
    <w:basedOn w:val="a"/>
    <w:link w:val="a7"/>
    <w:uiPriority w:val="99"/>
    <w:unhideWhenUsed/>
    <w:rsid w:val="00E74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4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1010</Words>
  <Characters>5761</Characters>
  <Application>Microsoft Office Word</Application>
  <DocSecurity>0</DocSecurity>
  <Lines>48</Lines>
  <Paragraphs>13</Paragraphs>
  <ScaleCrop>false</ScaleCrop>
  <Company>Хабаровский филиал ФАУ "Главгосэкспертиза России"</Company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Бондарь Валентина Владиславовна</dc:creator>
  <cp:keywords/>
  <dc:description/>
  <cp:lastModifiedBy>Бондарь Валентина Владиславовна</cp:lastModifiedBy>
  <cp:revision>1</cp:revision>
  <dcterms:created xsi:type="dcterms:W3CDTF">2017-07-05T01:49:00Z</dcterms:created>
  <dcterms:modified xsi:type="dcterms:W3CDTF">2017-07-05T01:56:00Z</dcterms:modified>
</cp:coreProperties>
</file>